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741E" w14:textId="77777777" w:rsidR="00004D1B" w:rsidRPr="00004D1B" w:rsidRDefault="00004D1B" w:rsidP="00004D1B">
      <w:pPr>
        <w:shd w:val="clear" w:color="auto" w:fill="FFFFFF"/>
        <w:spacing w:after="0" w:line="240" w:lineRule="auto"/>
        <w:jc w:val="center"/>
        <w:textAlignment w:val="baseline"/>
        <w:outlineLvl w:val="0"/>
        <w:rPr>
          <w:rFonts w:ascii="Arial" w:eastAsia="Times New Roman" w:hAnsi="Arial" w:cs="Arial"/>
          <w:b/>
          <w:bCs/>
          <w:color w:val="000000" w:themeColor="text1"/>
          <w:spacing w:val="2"/>
          <w:kern w:val="36"/>
          <w:sz w:val="46"/>
          <w:szCs w:val="46"/>
          <w:lang w:eastAsia="ru-RU"/>
        </w:rPr>
      </w:pPr>
      <w:r w:rsidRPr="00004D1B">
        <w:rPr>
          <w:rFonts w:ascii="Arial" w:eastAsia="Times New Roman" w:hAnsi="Arial" w:cs="Arial"/>
          <w:b/>
          <w:bCs/>
          <w:color w:val="000000" w:themeColor="text1"/>
          <w:spacing w:val="2"/>
          <w:kern w:val="36"/>
          <w:sz w:val="46"/>
          <w:szCs w:val="46"/>
          <w:lang w:eastAsia="ru-RU"/>
        </w:rPr>
        <w:t>Евразийская патентная конвенция</w:t>
      </w:r>
    </w:p>
    <w:p w14:paraId="7EEA662E"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bookmarkStart w:id="0" w:name="_GoBack"/>
      <w:bookmarkEnd w:id="0"/>
    </w:p>
    <w:p w14:paraId="015EF743" w14:textId="77777777" w:rsidR="00004D1B" w:rsidRPr="00004D1B" w:rsidRDefault="00004D1B" w:rsidP="00004D1B">
      <w:pPr>
        <w:shd w:val="clear" w:color="auto" w:fill="FFFFFF"/>
        <w:spacing w:after="0" w:line="315" w:lineRule="atLeast"/>
        <w:jc w:val="righ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Принята на заседании Межгосударственного совета</w:t>
      </w:r>
      <w:r w:rsidRPr="00004D1B">
        <w:rPr>
          <w:rFonts w:ascii="Courier New" w:eastAsia="Times New Roman" w:hAnsi="Courier New" w:cs="Courier New"/>
          <w:color w:val="000000" w:themeColor="text1"/>
          <w:spacing w:val="2"/>
          <w:sz w:val="21"/>
          <w:szCs w:val="21"/>
          <w:lang w:eastAsia="ru-RU"/>
        </w:rPr>
        <w:br/>
        <w:t>                      по вопросам охраны промышленной собственности</w:t>
      </w:r>
      <w:r w:rsidRPr="00004D1B">
        <w:rPr>
          <w:rFonts w:ascii="Courier New" w:eastAsia="Times New Roman" w:hAnsi="Courier New" w:cs="Courier New"/>
          <w:color w:val="000000" w:themeColor="text1"/>
          <w:spacing w:val="2"/>
          <w:sz w:val="21"/>
          <w:szCs w:val="21"/>
          <w:lang w:eastAsia="ru-RU"/>
        </w:rPr>
        <w:br/>
        <w:t xml:space="preserve">                         в </w:t>
      </w:r>
      <w:proofErr w:type="spellStart"/>
      <w:r w:rsidRPr="00004D1B">
        <w:rPr>
          <w:rFonts w:ascii="Courier New" w:eastAsia="Times New Roman" w:hAnsi="Courier New" w:cs="Courier New"/>
          <w:color w:val="000000" w:themeColor="text1"/>
          <w:spacing w:val="2"/>
          <w:sz w:val="21"/>
          <w:szCs w:val="21"/>
          <w:lang w:eastAsia="ru-RU"/>
        </w:rPr>
        <w:t>г.Женеве</w:t>
      </w:r>
      <w:proofErr w:type="spellEnd"/>
      <w:r w:rsidRPr="00004D1B">
        <w:rPr>
          <w:rFonts w:ascii="Courier New" w:eastAsia="Times New Roman" w:hAnsi="Courier New" w:cs="Courier New"/>
          <w:color w:val="000000" w:themeColor="text1"/>
          <w:spacing w:val="2"/>
          <w:sz w:val="21"/>
          <w:szCs w:val="21"/>
          <w:lang w:eastAsia="ru-RU"/>
        </w:rPr>
        <w:t>, Швейцария, штаб-квартира ВОИС,</w:t>
      </w:r>
      <w:r w:rsidRPr="00004D1B">
        <w:rPr>
          <w:rFonts w:ascii="Courier New" w:eastAsia="Times New Roman" w:hAnsi="Courier New" w:cs="Courier New"/>
          <w:color w:val="000000" w:themeColor="text1"/>
          <w:spacing w:val="2"/>
          <w:sz w:val="21"/>
          <w:szCs w:val="21"/>
          <w:lang w:eastAsia="ru-RU"/>
        </w:rPr>
        <w:br/>
        <w:t>                                                 17 февраля 1994 г.</w:t>
      </w:r>
    </w:p>
    <w:p w14:paraId="33408541"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4D44E621"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ЕВРАЗИЙСКАЯ ПАТЕНТНАЯ КОНВЕНЦИЯ</w:t>
      </w:r>
    </w:p>
    <w:p w14:paraId="673D6B52" w14:textId="2B5C0187" w:rsidR="00004D1B" w:rsidRPr="00004D1B" w:rsidRDefault="00004D1B" w:rsidP="00004D1B">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Ратифицирована</w:t>
      </w:r>
      <w:r w:rsidRPr="00004D1B">
        <w:rPr>
          <w:rFonts w:ascii="Arial" w:eastAsia="Times New Roman" w:hAnsi="Arial" w:cs="Arial"/>
          <w:color w:val="000000" w:themeColor="text1"/>
          <w:spacing w:val="2"/>
          <w:sz w:val="21"/>
          <w:szCs w:val="21"/>
          <w:lang w:eastAsia="ru-RU"/>
        </w:rPr>
        <w:br/>
        <w:t>Федеральным законом РФ</w:t>
      </w:r>
      <w:r w:rsidRPr="00004D1B">
        <w:rPr>
          <w:rFonts w:ascii="Arial" w:eastAsia="Times New Roman" w:hAnsi="Arial" w:cs="Arial"/>
          <w:color w:val="000000" w:themeColor="text1"/>
          <w:spacing w:val="2"/>
          <w:sz w:val="21"/>
          <w:szCs w:val="21"/>
          <w:lang w:eastAsia="ru-RU"/>
        </w:rPr>
        <w:br/>
        <w:t>от 1 июня 1995 года N 85-ФЗ</w:t>
      </w:r>
    </w:p>
    <w:p w14:paraId="3A4B1D87" w14:textId="223E955D"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Государства-участники настоящей Конвенции (далее Договаривающиеся государства) в лице Правительств,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руководствуясь желанием укрепить сотрудничество в области охраны изобретений,</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стремясь создать межгосударственную систему получения такой охраны на основе единого патента, действующего на территории всех Договаривающихся Государств,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желая с этой целью заключить Конвенцию, представляющую собой специальное соглашение в соответствии со статьей 19 Парижской конвенции по охране промышленной собственности от 20 марта 1883 года и договор о региональном патенте в соответствии со статьей 45(1) Договора о патентной кооперации от 19 июня 1970 года,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согласились о нижеследующем:</w:t>
      </w:r>
      <w:r w:rsidRPr="00004D1B">
        <w:rPr>
          <w:rFonts w:ascii="Arial" w:eastAsia="Times New Roman" w:hAnsi="Arial" w:cs="Arial"/>
          <w:color w:val="000000" w:themeColor="text1"/>
          <w:spacing w:val="2"/>
          <w:sz w:val="21"/>
          <w:szCs w:val="21"/>
          <w:lang w:eastAsia="ru-RU"/>
        </w:rPr>
        <w:br/>
      </w:r>
    </w:p>
    <w:p w14:paraId="6EB89DBB"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3B87F908"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I. Евразийская патентная система</w:t>
      </w:r>
    </w:p>
    <w:p w14:paraId="6A698989"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Евразийская патентная система</w:t>
      </w:r>
    </w:p>
    <w:p w14:paraId="6DCE409B"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C917378"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 Учреждение Евразийской патентной системы</w:t>
      </w:r>
    </w:p>
    <w:p w14:paraId="1307917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Договаривающиеся Государства, сохраняя за собой полный суверенитет в части развития своих национальных систем по охране изобретений, настоящим учреждают Евразийскую патентную систему.</w:t>
      </w:r>
    </w:p>
    <w:p w14:paraId="246572E1" w14:textId="5C446BF1"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 xml:space="preserve">(2) Никакое положение настоящей Конвенции не должно пониматься как ограничение прав, предусмотренных Парижской конвенцией по охране промышленной собственности, любого гражданина страны - участницы Парижской конвенции или лица, постоянно проживающего в </w:t>
      </w:r>
      <w:r w:rsidRPr="00004D1B">
        <w:rPr>
          <w:rFonts w:ascii="Arial" w:eastAsia="Times New Roman" w:hAnsi="Arial" w:cs="Arial"/>
          <w:color w:val="000000" w:themeColor="text1"/>
          <w:spacing w:val="2"/>
          <w:sz w:val="21"/>
          <w:szCs w:val="21"/>
          <w:lang w:eastAsia="ru-RU"/>
        </w:rPr>
        <w:lastRenderedPageBreak/>
        <w:t>этой стране.</w:t>
      </w:r>
      <w:r w:rsidRPr="00004D1B">
        <w:rPr>
          <w:rFonts w:ascii="Arial" w:eastAsia="Times New Roman" w:hAnsi="Arial" w:cs="Arial"/>
          <w:color w:val="000000" w:themeColor="text1"/>
          <w:spacing w:val="2"/>
          <w:sz w:val="21"/>
          <w:szCs w:val="21"/>
          <w:lang w:eastAsia="ru-RU"/>
        </w:rPr>
        <w:br/>
      </w:r>
    </w:p>
    <w:p w14:paraId="62F4EEFD"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69814429"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II. Евразийская патентная организация</w:t>
      </w:r>
    </w:p>
    <w:p w14:paraId="1F20DA73"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Евразийская патентная организация</w:t>
      </w:r>
    </w:p>
    <w:p w14:paraId="4A69236D"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3E80E889"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 Учреждение Евразийской патентной организации</w:t>
      </w:r>
    </w:p>
    <w:p w14:paraId="7265A4BC"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Для выполнения административных задач, связанных с функционированием Евразийской патентной системы и выдачей евразийских патентов, учреждается Евразийская патентная организация (далее - Организация).</w:t>
      </w:r>
    </w:p>
    <w:p w14:paraId="406DBFC0"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Все Договаривающиеся Государства являются членами Организации.</w:t>
      </w:r>
    </w:p>
    <w:p w14:paraId="4D62018A"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(3) Органами Организации являются Административный совет и Евразийское патентное ведомство (далее - Евразийское ведомство).</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(4) Евразийское ведомство возглавляет Президент, который является высшим должностным лицом Организации и представляет Организацию.</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(5) Организация является межправительственной организацией, имеющей статус юридического лица. Организация обладает в каждом Договаривающемся Государстве правоспособностью, которая признана за юридическими лицами в соответствии с национальным законодательством данного Государства.</w:t>
      </w:r>
    </w:p>
    <w:p w14:paraId="43E1EE57"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Организация может приобретать и распоряжаться движимым и недвижимым имуществом и защищать свои права в суде. Местонахождение штаб-квартиры Организации - город Москва, Российская Федерация.</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(6) Официальным языком Организации является русский язык.</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(7) Организация, полномочные представители Договаривающихся Государств и их заместители, служащие Евразийского ведомства и другие лица, привлекаемые для решения задач Организации, обладают на территории каждого из Договаривающихся Государств соответствующими правами, привилегиями и иммунитетами, которые предоставляются таким государством любой другой международной организации и ее служащим, а на территории Российской Федерации, кроме того, регулируются специальным соглашением о штаб-квартире Организации, заключаемым Организацией с Правительством Российской Федерации.</w:t>
      </w:r>
      <w:r w:rsidRPr="00004D1B">
        <w:rPr>
          <w:rFonts w:ascii="Arial" w:eastAsia="Times New Roman" w:hAnsi="Arial" w:cs="Arial"/>
          <w:color w:val="000000" w:themeColor="text1"/>
          <w:spacing w:val="2"/>
          <w:sz w:val="21"/>
          <w:szCs w:val="21"/>
          <w:lang w:eastAsia="ru-RU"/>
        </w:rPr>
        <w:br/>
      </w:r>
    </w:p>
    <w:p w14:paraId="4D8145F6"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365DDB5"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lastRenderedPageBreak/>
        <w:t>Статья 3. Административный совет</w:t>
      </w:r>
    </w:p>
    <w:p w14:paraId="25F765D0"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 xml:space="preserve">(1) Каждое Договаривающееся Государство представлено в Административном совете. Каждое Договаривающееся Государство имеет в Административном совете один голос. Кворум составляет две трети от числа Договаривающихся Государств. Решения принимаются на основе консенсуса или, если консенсус не может быть достигнут, - </w:t>
      </w:r>
      <w:proofErr w:type="spellStart"/>
      <w:r w:rsidRPr="00004D1B">
        <w:rPr>
          <w:rFonts w:ascii="Arial" w:eastAsia="Times New Roman" w:hAnsi="Arial" w:cs="Arial"/>
          <w:color w:val="000000" w:themeColor="text1"/>
          <w:spacing w:val="2"/>
          <w:sz w:val="21"/>
          <w:szCs w:val="21"/>
          <w:lang w:eastAsia="ru-RU"/>
        </w:rPr>
        <w:t>простымбольшинством</w:t>
      </w:r>
      <w:proofErr w:type="spellEnd"/>
      <w:r w:rsidRPr="00004D1B">
        <w:rPr>
          <w:rFonts w:ascii="Arial" w:eastAsia="Times New Roman" w:hAnsi="Arial" w:cs="Arial"/>
          <w:color w:val="000000" w:themeColor="text1"/>
          <w:spacing w:val="2"/>
          <w:sz w:val="21"/>
          <w:szCs w:val="21"/>
          <w:lang w:eastAsia="ru-RU"/>
        </w:rPr>
        <w:t xml:space="preserve"> участвующих в голосовании полномочных представителей Договаривающихся Государств, за исключением случаев, когда настоящей Конвенцией предусматривается единогласие или большинство в две трети голосов.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(2) Административный совет собирается на очередное заседание в каждом календарном году и на внеочередное заседание - по инициативе по меньшей мере трех Договаривающихся Государств, Председателя Административного совета или Президента Евразийского ведомства. Заседания созываются Президентом Евразийского ведомства.</w:t>
      </w:r>
    </w:p>
    <w:p w14:paraId="1F09962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(3) Административный совет:</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 утверждает свои Правила процедуры;</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(II) избирает Председателя Административного совета на возобновляемый двухлетний срок;</w:t>
      </w:r>
    </w:p>
    <w:p w14:paraId="4DD356B3"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(III) назначает Президента Евразийского ведомства на возобновляемый шестилетний срок; условия назначения регулируются в контракте между Организацией и будущим Президентом;</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(IV) дает рекомендации Президенту Евразийского ведомства в отношении назначения Президентом вице-президентов Евразийского ведомства;</w:t>
      </w:r>
    </w:p>
    <w:p w14:paraId="3FB1F1C3"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(V) одобряет соглашение о штаб-квартире Организации, заключаемое Организацией с Правительством Российской Федерации;</w:t>
      </w:r>
    </w:p>
    <w:p w14:paraId="28948C6D"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(VI) одобряет соглашения, заключаемые Организацией с Государствами и международными организациями;</w:t>
      </w:r>
    </w:p>
    <w:p w14:paraId="65DBE91E"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(VII) утверждает большинством в две трети голосов Патентную инструкцию, Финансовую инструкцию и Административную инструкцию;</w:t>
      </w:r>
    </w:p>
    <w:p w14:paraId="408B1497"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(VIII) принимает большинством в две трети голосов годовой бюджет, рассматривает годовой отчет и одобряет годовые счета Организации;</w:t>
      </w:r>
    </w:p>
    <w:p w14:paraId="32A1C5E4"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(IX) осуществляет другие действия, направленные на решение задач Организации.</w:t>
      </w:r>
    </w:p>
    <w:p w14:paraId="033177ED"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(4) Всемирная организация интеллектуальной собственности (далее - ВОИС) принимает участие в заседаниях Административного совета с правом совещательного голоса в соответствии с положениями соглашения, заключаемого между Организацией и ВОИС.</w:t>
      </w:r>
      <w:r w:rsidRPr="00004D1B">
        <w:rPr>
          <w:rFonts w:ascii="Arial" w:eastAsia="Times New Roman" w:hAnsi="Arial" w:cs="Arial"/>
          <w:color w:val="000000" w:themeColor="text1"/>
          <w:spacing w:val="2"/>
          <w:sz w:val="21"/>
          <w:szCs w:val="21"/>
          <w:lang w:eastAsia="ru-RU"/>
        </w:rPr>
        <w:br/>
      </w:r>
    </w:p>
    <w:p w14:paraId="1BD26623"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1A5188B"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4. Евразийское ведомство</w:t>
      </w:r>
    </w:p>
    <w:p w14:paraId="65AB7671"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Евразийское ведомство выполняет все административные функции Организации. Оно является секретариатом Организации.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lastRenderedPageBreak/>
        <w:br/>
        <w:t>(2) Президент Евразийского ведомства определяет его структуру и назначает персонал. Он может участвовать во всех заседаниях Административного совета.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(3) Каждое Договаривающееся Государство имеет квоту в штате Евразийского ведомства, которая определяется Административной инструкцией.</w:t>
      </w:r>
    </w:p>
    <w:p w14:paraId="7DEBC741"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(4) Евразийское ведомство находится в городе Москве, Российская Федерация.</w:t>
      </w:r>
    </w:p>
    <w:p w14:paraId="594812A1"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 </w:t>
      </w:r>
      <w:r w:rsidRPr="00004D1B">
        <w:rPr>
          <w:rFonts w:ascii="Courier New" w:eastAsia="Times New Roman" w:hAnsi="Courier New" w:cs="Courier New"/>
          <w:color w:val="000000" w:themeColor="text1"/>
          <w:spacing w:val="2"/>
          <w:sz w:val="21"/>
          <w:szCs w:val="21"/>
          <w:lang w:eastAsia="ru-RU"/>
        </w:rPr>
        <w:br/>
      </w:r>
    </w:p>
    <w:p w14:paraId="3CFF9ACE"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5. Финансы</w:t>
      </w:r>
    </w:p>
    <w:p w14:paraId="34E2B564"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Организация является самофинансируемой в том смысле, что ее расходы покрываются за счет пошлин и других получаемых ею доходов. Никакое Договаривающееся Государство не может быть обязано уплачивать взносы в Организацию.</w:t>
      </w:r>
    </w:p>
    <w:p w14:paraId="78558E06"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Бюджет Организации формируется из следующих источников: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 поступлений от пошлин и платежей за услуги, предоставляемые Евразийским ведомством;</w:t>
      </w:r>
    </w:p>
    <w:p w14:paraId="05366E13"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(II) поступлений от издательской деятельности Евразийского ведомства;</w:t>
      </w:r>
    </w:p>
    <w:p w14:paraId="142985FA"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(III) даров, завещанных средств и субсидий, передаваемых Организации;</w:t>
      </w:r>
    </w:p>
    <w:p w14:paraId="18058EB5"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(IV) ренты, процентов и различных других доходов Организации.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(3) Превышение доходной части бюджета Организации над расходной используется для развития Евразийского ведомства.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(4) Соглашение о штаб-квартире Организации, упоминаемое в статье 3(3)(V), должно предусматривать, что в случаях, когда финансовых средств Организации недостаточно для ее деятельности, Российская Федерация предоставляет Организации авансы. Размеры этих авансов и условия, на которых они предоставляются, в каждом случае являются предметом отдельных соглашений между Организацией и Правительством Российской Федерации.</w:t>
      </w:r>
      <w:r w:rsidRPr="00004D1B">
        <w:rPr>
          <w:rFonts w:ascii="Arial" w:eastAsia="Times New Roman" w:hAnsi="Arial" w:cs="Arial"/>
          <w:color w:val="000000" w:themeColor="text1"/>
          <w:spacing w:val="2"/>
          <w:sz w:val="21"/>
          <w:szCs w:val="21"/>
          <w:lang w:eastAsia="ru-RU"/>
        </w:rPr>
        <w:br/>
      </w:r>
    </w:p>
    <w:p w14:paraId="284062CA"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491A993A"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III. Материальные нормы патентного права</w:t>
      </w:r>
    </w:p>
    <w:p w14:paraId="1C75289A"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Материальные нормы патентного права</w:t>
      </w:r>
    </w:p>
    <w:p w14:paraId="55A37050"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A189B21"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6. Патентоспособные изобретения</w:t>
      </w:r>
    </w:p>
    <w:p w14:paraId="1D043AAD"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Евразийское ведомстве выдает евразийский патент на изобретение, которое является новым, имеет избирательский уровень и промышленно применимо.</w:t>
      </w:r>
      <w:r w:rsidRPr="00004D1B">
        <w:rPr>
          <w:rFonts w:ascii="Arial" w:eastAsia="Times New Roman" w:hAnsi="Arial" w:cs="Arial"/>
          <w:color w:val="000000" w:themeColor="text1"/>
          <w:spacing w:val="2"/>
          <w:sz w:val="21"/>
          <w:szCs w:val="21"/>
          <w:lang w:eastAsia="ru-RU"/>
        </w:rPr>
        <w:br/>
      </w:r>
    </w:p>
    <w:p w14:paraId="464BB1B9"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lastRenderedPageBreak/>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60EDECDB"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7. Лица, обладающие правом на евразийский патент</w:t>
      </w:r>
    </w:p>
    <w:p w14:paraId="22A487EB"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Право на евразийский патент принадлежит изобретателю или правопреемнику. При этом если изобретатель является служащим, то право на евразийский патент определяется в соответствии с законодательством Государства, в котором служащий имеет основное место службы, если Государство, в котором служащий имеет основное место службы, не может быть определено, применяется законодательство того Государства, в котором работодатель занимается предпринимательской деятельностью, с которой связан служащий.</w:t>
      </w:r>
    </w:p>
    <w:p w14:paraId="1CFF0D9A"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Для целей процедуры в Евразийском ведомстве заявитель считается имеющим право на получение евразийского патента.</w:t>
      </w:r>
      <w:r w:rsidRPr="00004D1B">
        <w:rPr>
          <w:rFonts w:ascii="Arial" w:eastAsia="Times New Roman" w:hAnsi="Arial" w:cs="Arial"/>
          <w:color w:val="000000" w:themeColor="text1"/>
          <w:spacing w:val="2"/>
          <w:sz w:val="21"/>
          <w:szCs w:val="21"/>
          <w:lang w:eastAsia="ru-RU"/>
        </w:rPr>
        <w:br/>
      </w:r>
    </w:p>
    <w:p w14:paraId="7FB98E81"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0C9CE899"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8. Право приоритета</w:t>
      </w:r>
    </w:p>
    <w:p w14:paraId="7A93E143" w14:textId="4C4ACAD1"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Право приоритета признается в соответствии с Парижской конвенцией по охране промышленной собственности.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r>
    </w:p>
    <w:p w14:paraId="1635C393"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279C982D"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9. Патентные права</w:t>
      </w:r>
    </w:p>
    <w:p w14:paraId="3D86AB8C"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Владелец евразийского патента обладает исключительным правом использовать, а также разрешать или запрещать другим использование запатентованного изобретения.</w:t>
      </w:r>
    </w:p>
    <w:p w14:paraId="726FF25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Владелец евразийского патента может передавать свое право или выдавать на него лицензию.</w:t>
      </w:r>
    </w:p>
    <w:p w14:paraId="4BB12E07"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(3) После опубликования заявки на выдачу евразийского патента (далее - евразийская заявка) заявителю предоставляется временная охрана в соответствии с национальным законодательством Договаривающихся Государств.</w:t>
      </w:r>
    </w:p>
    <w:p w14:paraId="673F9962"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0DEC3273"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39582431"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10. Объем правовой охраны</w:t>
      </w:r>
    </w:p>
    <w:p w14:paraId="05715168"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 xml:space="preserve">Объем правовой охраны, предоставляемой евразийским патентом, определяется формулой изобретения. Описания и чертежи служат только для целей толкования формулы </w:t>
      </w:r>
      <w:r w:rsidRPr="00004D1B">
        <w:rPr>
          <w:rFonts w:ascii="Arial" w:eastAsia="Times New Roman" w:hAnsi="Arial" w:cs="Arial"/>
          <w:color w:val="000000" w:themeColor="text1"/>
          <w:spacing w:val="2"/>
          <w:sz w:val="21"/>
          <w:szCs w:val="21"/>
          <w:lang w:eastAsia="ru-RU"/>
        </w:rPr>
        <w:lastRenderedPageBreak/>
        <w:t>изобретения.</w:t>
      </w:r>
      <w:r w:rsidRPr="00004D1B">
        <w:rPr>
          <w:rFonts w:ascii="Arial" w:eastAsia="Times New Roman" w:hAnsi="Arial" w:cs="Arial"/>
          <w:color w:val="000000" w:themeColor="text1"/>
          <w:spacing w:val="2"/>
          <w:sz w:val="21"/>
          <w:szCs w:val="21"/>
          <w:lang w:eastAsia="ru-RU"/>
        </w:rPr>
        <w:br/>
      </w:r>
    </w:p>
    <w:p w14:paraId="674CC1F2"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06B93F7A"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11. Срок действия евразийского патента</w:t>
      </w:r>
    </w:p>
    <w:p w14:paraId="0BC4E7A4"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Срок действия евразийского патента составляет 20 лет с даты подачи евразийской заявки.</w:t>
      </w:r>
      <w:r w:rsidRPr="00004D1B">
        <w:rPr>
          <w:rFonts w:ascii="Arial" w:eastAsia="Times New Roman" w:hAnsi="Arial" w:cs="Arial"/>
          <w:color w:val="000000" w:themeColor="text1"/>
          <w:spacing w:val="2"/>
          <w:sz w:val="21"/>
          <w:szCs w:val="21"/>
          <w:lang w:eastAsia="ru-RU"/>
        </w:rPr>
        <w:br/>
      </w:r>
    </w:p>
    <w:p w14:paraId="1BF73A86"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68CE624"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12. Принудительные лицензии</w:t>
      </w:r>
    </w:p>
    <w:p w14:paraId="1665ED84" w14:textId="2DBE2730"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Принудительные лицензии на использование евразийского патента третьими лицами могут выдаваться в соответствии с Парижской конвенцией по охране промышленной собственности компетентным органом Договаривающегося Государства с действием на территории данного Государства.</w:t>
      </w:r>
    </w:p>
    <w:p w14:paraId="5F558CE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Решение о выдаче принудительной лицензии может быть обжаловано в судах или других компетентных органах Договаривающегося Государства, на территории которого выдана принудительная лицензия.</w:t>
      </w:r>
      <w:r w:rsidRPr="00004D1B">
        <w:rPr>
          <w:rFonts w:ascii="Arial" w:eastAsia="Times New Roman" w:hAnsi="Arial" w:cs="Arial"/>
          <w:color w:val="000000" w:themeColor="text1"/>
          <w:spacing w:val="2"/>
          <w:sz w:val="21"/>
          <w:szCs w:val="21"/>
          <w:lang w:eastAsia="ru-RU"/>
        </w:rPr>
        <w:br/>
      </w:r>
    </w:p>
    <w:p w14:paraId="700C9E90"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2F2BF02D"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13. Действительность евразийского патента и осуществление прав</w:t>
      </w:r>
    </w:p>
    <w:p w14:paraId="43A9BD8C"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Любой спор, касающийся действительности евразийского патента в конкретном Договаривающемся Государстве или нарушения евразийского патента в конкретном Договаривающемся Государстве, разрешается национальными судами или другими компетентными органами этого Государства на основании настоящей Конвенции и Патентной инструкции. Решение имеет силу лишь на территории Договаривающегося Государства.</w:t>
      </w:r>
    </w:p>
    <w:p w14:paraId="61D97D7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За нарушение евразийского патента в каждом Договаривающемся Государстве предусматривается такая же гражданско-правовая или иная ответственность, как и за нарушение национального патента.</w:t>
      </w:r>
    </w:p>
    <w:p w14:paraId="6FAF6E16"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(3) Любой национальный суд или другой компетентный орган Договаривающегося Государства может потребовать, чтобы истец представил ему перевод евразийского патента на Государственный язык данного Договаривающегося Государства.</w:t>
      </w:r>
      <w:r w:rsidRPr="00004D1B">
        <w:rPr>
          <w:rFonts w:ascii="Arial" w:eastAsia="Times New Roman" w:hAnsi="Arial" w:cs="Arial"/>
          <w:color w:val="000000" w:themeColor="text1"/>
          <w:spacing w:val="2"/>
          <w:sz w:val="21"/>
          <w:szCs w:val="21"/>
          <w:lang w:eastAsia="ru-RU"/>
        </w:rPr>
        <w:br/>
      </w:r>
    </w:p>
    <w:p w14:paraId="381F27BF"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E4497A4"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14. Патентная инструкция. Материальные нормы</w:t>
      </w:r>
    </w:p>
    <w:p w14:paraId="487A2C78"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lastRenderedPageBreak/>
        <w:t>Патентная инструкция содержит детали, касающиеся норм патентного права, включая, в частности, следующее:</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 определение условий патентоспособности изобретения, включая определение новизны, изобретательского уровня и промышленной применимости, а также требований о раскрытии изобретения;</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(II) обстоятельства, не препятствующие признанию патентоспособности изобретения;</w:t>
      </w:r>
    </w:p>
    <w:p w14:paraId="1208D2C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(III) требование единства изобретения;</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(IV) определение и действие права приоритета;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 определение исключительного права на запатентованное изобретение;</w:t>
      </w:r>
    </w:p>
    <w:p w14:paraId="778B1EAA"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(VI) право преждепользования;</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(VII) толкование формулы изобретения;</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(VIII) право изобретателя быть упомянутым в евразийской заявке и евразийском патенте;</w:t>
      </w:r>
    </w:p>
    <w:p w14:paraId="2F24620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(IX) правопреемство и другие виды передачи права на евразийскую заявку или евразийский патент;</w:t>
      </w:r>
    </w:p>
    <w:p w14:paraId="21D2AE7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(Х) конфиденциальность делопроизводства по евразийским заявкам.</w:t>
      </w:r>
      <w:r w:rsidRPr="00004D1B">
        <w:rPr>
          <w:rFonts w:ascii="Arial" w:eastAsia="Times New Roman" w:hAnsi="Arial" w:cs="Arial"/>
          <w:color w:val="000000" w:themeColor="text1"/>
          <w:spacing w:val="2"/>
          <w:sz w:val="21"/>
          <w:szCs w:val="21"/>
          <w:lang w:eastAsia="ru-RU"/>
        </w:rPr>
        <w:br/>
      </w:r>
    </w:p>
    <w:p w14:paraId="2A7CF7D5"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73C7AFA"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IV. Процедурные нормы патентного права</w:t>
      </w:r>
    </w:p>
    <w:p w14:paraId="06467F12"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Процедурные нормы патентного права</w:t>
      </w:r>
    </w:p>
    <w:p w14:paraId="59859C7F"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5D18E7F"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15. Евразийская заявка и выдача евразийского патента</w:t>
      </w:r>
    </w:p>
    <w:p w14:paraId="0354A097"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Евразийская заявка может быть подана: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 в Евразийское ведомство с учетом положений подпункта (II) настоящей статьи;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 xml:space="preserve">(II) для заявителей Договаривающегося Государства евразийская заявка подается через национальное патентное ведомство Договаривающегося Государства (далее - национальное ведомство), если это предусмотрено законодательством данного Государства. Евразийская заявка, поданная через национальное ведомство, имеет те же последствия, как если бы она была подана в тот же день в Евразийское ведомство, если она переслана в Евразийское ведомство </w:t>
      </w:r>
      <w:proofErr w:type="spellStart"/>
      <w:r w:rsidRPr="00004D1B">
        <w:rPr>
          <w:rFonts w:ascii="Arial" w:eastAsia="Times New Roman" w:hAnsi="Arial" w:cs="Arial"/>
          <w:color w:val="000000" w:themeColor="text1"/>
          <w:spacing w:val="2"/>
          <w:sz w:val="21"/>
          <w:szCs w:val="21"/>
          <w:lang w:eastAsia="ru-RU"/>
        </w:rPr>
        <w:t>всрок</w:t>
      </w:r>
      <w:proofErr w:type="spellEnd"/>
      <w:r w:rsidRPr="00004D1B">
        <w:rPr>
          <w:rFonts w:ascii="Arial" w:eastAsia="Times New Roman" w:hAnsi="Arial" w:cs="Arial"/>
          <w:color w:val="000000" w:themeColor="text1"/>
          <w:spacing w:val="2"/>
          <w:sz w:val="21"/>
          <w:szCs w:val="21"/>
          <w:lang w:eastAsia="ru-RU"/>
        </w:rPr>
        <w:t xml:space="preserve">, установленный в Патентной инструкции. Национальное ведомство проверяет соответствие этой заявки требованиям, установленным настоящей Конвенцией и Патентной инструкцией для экспертизы евразийской заявки по формальным признакам, и, если оно сочтет, что заявка соответствует указанным </w:t>
      </w:r>
      <w:r w:rsidRPr="00004D1B">
        <w:rPr>
          <w:rFonts w:ascii="Arial" w:eastAsia="Times New Roman" w:hAnsi="Arial" w:cs="Arial"/>
          <w:color w:val="000000" w:themeColor="text1"/>
          <w:spacing w:val="2"/>
          <w:sz w:val="21"/>
          <w:szCs w:val="21"/>
          <w:lang w:eastAsia="ru-RU"/>
        </w:rPr>
        <w:lastRenderedPageBreak/>
        <w:t>требованиям, пересылает заявку в Евразийское ведомство для ведения дальнейшего делопроизводства.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(2) Если евразийская заявка подается в Евразийское ведомство, при подаче Евразийскому ведомству уплачивается единая процедурная пошлина за подачу заявки, поиск, публикацию и другие процедурные действия. Если евразийская заявка подается через национальное ведомство, при подаче национальному ведомству уплачивается пошлина за проверку заявки на соответствие требованиям экспертизы по формальным признакам и пересылку, в то время как единая процедурная пошлина уплачивается Евразийскому ведомству при пересылке евразийской заявки в это ведомство.</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(3) Евразийское ведомство проверяет соответствие евразийской заявки формальным требованиям Конвенции и Патентной инструкции и проводит поиск по этой заявке. По результатам поиска составляется отчет о поиске, который высылается заявителю.</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(4) Евразийская заявка публикуется Евразийским ведомством вместе с отчетом о поиске незамедлительно по истечении 18 месяцев с даты ее подачи или, если испрошен приоритет, с даты приоритета. По ходатайству заявителя Евразийское ведомство публикует евразийскую заявку ранее указанного срока. В этом случае отчет о поиске публикуется отдельно по его поступлении.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(5) По ходатайству заявителя, которое должно быть подано в Евразийское ведомство до истечения шести месяцев с даты публикации отчета о поиске, Евразийское ведомство проводит экспертизу евразийской заявки по существу.</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(6) В случае подачи ходатайства, упомянутого в пункте (5) настоящей статьи, взимается пошлина за экспертизу, уплачиваемая Евразийскому ведомству.</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(7) Решение о выдаче или об отказе в выдаче евразийского патента принимается от имени Евразийского ведомства коллегиями, состоящими каждая из трех экспертов, являющихся штатными сотрудниками Евразийского ведомства, и, если иной порядок не принят единогласно Административным советом, гражданами различных Договаривающихся Государств.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 xml:space="preserve">(8) При несогласии с решением Евразийского ведомства об отказе в выдаче евразийского патента заявитель может в трехмесячный срок с даты получения уведомления об этом отказе подать Евразийскому ведомству возражение, которое должно быть рассмотрено коллегией Евразийского ведомства, сформированной в соответствии с пунктом (7) настоящей статьи. В состав коллегии должны входить по крайней мере два эксперта, которые ранее не принимали </w:t>
      </w:r>
      <w:proofErr w:type="gramStart"/>
      <w:r w:rsidRPr="00004D1B">
        <w:rPr>
          <w:rFonts w:ascii="Arial" w:eastAsia="Times New Roman" w:hAnsi="Arial" w:cs="Arial"/>
          <w:color w:val="000000" w:themeColor="text1"/>
          <w:spacing w:val="2"/>
          <w:sz w:val="21"/>
          <w:szCs w:val="21"/>
          <w:lang w:eastAsia="ru-RU"/>
        </w:rPr>
        <w:t>решение по существу</w:t>
      </w:r>
      <w:proofErr w:type="gramEnd"/>
      <w:r w:rsidRPr="00004D1B">
        <w:rPr>
          <w:rFonts w:ascii="Arial" w:eastAsia="Times New Roman" w:hAnsi="Arial" w:cs="Arial"/>
          <w:color w:val="000000" w:themeColor="text1"/>
          <w:spacing w:val="2"/>
          <w:sz w:val="21"/>
          <w:szCs w:val="21"/>
          <w:lang w:eastAsia="ru-RU"/>
        </w:rPr>
        <w:t xml:space="preserve"> данного возражения.</w:t>
      </w:r>
    </w:p>
    <w:p w14:paraId="60A17D7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(9) За подачу упомянутого в пункте (8) настоящей статьи возражения взимается пошлина, уплачиваемая Евразийскому ведомству.</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(10) За выдачу евразийского патента Евразийскому ведомству уплачивается пошлина в течение трех месяцев с даты получения заявителем уведомления Евразийского ведомства о готовности выдать евразийский патент.</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lastRenderedPageBreak/>
        <w:br/>
        <w:t>(11) С учетом положений статьи 17, евразийский патент имеет действие на территории всех Договаривающихся Государств с даты его публикации.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(12) Любое лицо, имеющее право быть представителем перед национальным ведомством Договаривающегося Государства и зарегистрированное в Евразийском ведомстве в качестве патентного поверенного, может выступать представителем перед Евразийским ведомством. Если заявитель не имеет постоянного местожительства или постоянного местонахождения на территории какого-либо Договаривающегося Государства, он должен быть представлен таким патентным поверенным. Лица, имеющие постоянное местожительство или постоянное местонахождение на территории какого-либо из Договаривающихся Государств, могут подавать евразийские заявки, а также вести дела с Евразийским ведомством как самостоятельно, так и через патентных поверенных или представителей, не являющихся патентными поверенными.</w:t>
      </w:r>
    </w:p>
    <w:p w14:paraId="2E5762C7"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69753246"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50169A4B"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16. Преобразование евразийских заявок в национальные патентные заявки</w:t>
      </w:r>
    </w:p>
    <w:p w14:paraId="0E2A1A8C"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До истечения шести месяцев с даты получения заявителем уведомления Евразийского ведомства об отказе в выдаче евразийского патента либо с даты получения заявителем уведомления Евразийского ведомства об отказе в удовлетворении возражения, поданного в соответствии со статьей 15(8), заявитель может подать в Евразийское ведомство ходатайство с указанием Договаривающихся Государств, в которых он хочет получить патент по национальной процедуре.</w:t>
      </w:r>
    </w:p>
    <w:p w14:paraId="0049248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В каждом указанном таким образом Договаривающемся Государстве евразийская заявка, в отношении которой было принято такое решение и которая является предметом такого ходатайства, считается правильно оформленной национальной заявкой, поданной в национальное ведомство с той же датой подачи и, если таковая имеется, датой приоритета, что и евразийская заявка, со всеми последствиями, предусмотренными национальным законодательством, и подлежит дальнейшей процедуре в национальном ведомстве при условии, что заявитель уплатит национальному ведомству требуемые национальные пошлины.</w:t>
      </w:r>
    </w:p>
    <w:p w14:paraId="110B4DAD"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79AF9846"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6071A700"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17. Поддержание евразийских патентов в силе</w:t>
      </w:r>
    </w:p>
    <w:p w14:paraId="03209AD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За поддержание в силе евразийского патента ежегодно уплачиваются пошлины.</w:t>
      </w:r>
    </w:p>
    <w:p w14:paraId="14E217C2"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Пошлины за поддержание евразийского патента в силе уплачиваются после его выдачи ежегодно на дату, соответствующую дате подачи евразийской заявки.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 xml:space="preserve">(3) Для продолжения действия евразийского патента в каждом Договаривающемся </w:t>
      </w:r>
      <w:r w:rsidRPr="00004D1B">
        <w:rPr>
          <w:rFonts w:ascii="Arial" w:eastAsia="Times New Roman" w:hAnsi="Arial" w:cs="Arial"/>
          <w:color w:val="000000" w:themeColor="text1"/>
          <w:spacing w:val="2"/>
          <w:sz w:val="21"/>
          <w:szCs w:val="21"/>
          <w:lang w:eastAsia="ru-RU"/>
        </w:rPr>
        <w:lastRenderedPageBreak/>
        <w:t>Государстве патентовладелец должен указать название каждого Договаривающегося Государства, в котором он желает продолжения действия патента. Такое указание направляется в Евразийское ведомство одновременно с уплатой пошлины за поддержание евразийского патента в силе. Эта пошлина уплачивается в отношении каждого указанного Договаривающегося Государства.</w:t>
      </w:r>
    </w:p>
    <w:p w14:paraId="40B6308A"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2870FE6B"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1DD1203"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18. Пошлины</w:t>
      </w:r>
    </w:p>
    <w:p w14:paraId="6908A6F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Пошлины, относящиеся к евразийской заявке или евразийскому патенту, а также все платежи за услуги, предоставляемые Евразийским ведомством, уплачиваются Евразийскому ведомству и, с учетом положений пункта (2) настоящей статьи, принадлежат Организации. Пошлина за проверку евразийской заявки на соответствие требованиям экспертизы по формальным признакам и пересылку, упомянутая в статье 15(2), уплачивается и принадлежит национальному ведомству, в которое подана евразийская заявка.</w:t>
      </w:r>
    </w:p>
    <w:p w14:paraId="0BFA8CE8"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  </w:t>
      </w:r>
    </w:p>
    <w:p w14:paraId="25FC49B8"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Все пошлины за поддержание евразийского патента в силе уплачиваются Евразийскому ведомству. Соотношение долей распределения пошлин за поддержание евразийского патента в силе между Организацией и указанными Договаривающимися Государствами устанавливается Административным советом большинством в две трети голосов при условии, что не менее одной пятой от размера пошлины, полученной за каждое указанное патентовладельцем Договаривающееся Государство, принадлежит Организации; оставшаяся часть этой пошлины переводится национальному ведомству указанного Договаривающегося Государства.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(3) Размеры пошлин за поддержание евразийского патента в силе в отношении каждого Договаривающегося Государства устанавливаются этим Государством. Валюта, в которой должна быть уплачена пошлина за поддержание евразийского патента в силе, устанавливается Административным советом.</w:t>
      </w:r>
    </w:p>
    <w:p w14:paraId="5AA4DC7A"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01AB1CD9"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C7E7339"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19. Патентная инструкция. Процедурные нормы</w:t>
      </w:r>
    </w:p>
    <w:p w14:paraId="3A1702A3"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Патентная инструкция содержит детали, касающиеся евразийской патентной процедуры, включая, в частности, следующее:</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 требования к форме и содержанию евразийской заявки;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(II) требования к патентным поверенным, порядок их аттестации и регистрации;</w:t>
      </w:r>
    </w:p>
    <w:p w14:paraId="1FCD0926"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(III) дату подачи;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lastRenderedPageBreak/>
        <w:t>(IV) исчисление сроков;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 xml:space="preserve">(V) </w:t>
      </w:r>
      <w:proofErr w:type="spellStart"/>
      <w:r w:rsidRPr="00004D1B">
        <w:rPr>
          <w:rFonts w:ascii="Arial" w:eastAsia="Times New Roman" w:hAnsi="Arial" w:cs="Arial"/>
          <w:color w:val="000000" w:themeColor="text1"/>
          <w:spacing w:val="2"/>
          <w:sz w:val="21"/>
          <w:szCs w:val="21"/>
          <w:lang w:eastAsia="ru-RU"/>
        </w:rPr>
        <w:t>испрашивание</w:t>
      </w:r>
      <w:proofErr w:type="spellEnd"/>
      <w:r w:rsidRPr="00004D1B">
        <w:rPr>
          <w:rFonts w:ascii="Arial" w:eastAsia="Times New Roman" w:hAnsi="Arial" w:cs="Arial"/>
          <w:color w:val="000000" w:themeColor="text1"/>
          <w:spacing w:val="2"/>
          <w:sz w:val="21"/>
          <w:szCs w:val="21"/>
          <w:lang w:eastAsia="ru-RU"/>
        </w:rPr>
        <w:t xml:space="preserve"> приоритета;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(VI) валюты и порядок уплаты пошлин;</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(VII) изменение или исправление евразийской заявки;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(VIII) патентный поиск и экспертизу;</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(IX) документацию и информационные услуги Евразийского ведомства;</w:t>
      </w:r>
    </w:p>
    <w:p w14:paraId="17E4B9CB"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(X) публикация евразийских заявок и патентов;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(XI) Реестр евразийских патентов;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(XII) Бюллетень Евразийского ведомства;</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(XIII) условия и процедуру административного аннулирования евразийских патентов;</w:t>
      </w:r>
    </w:p>
    <w:p w14:paraId="3CB8630F"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(XIV) преобразование евразийских заявок в национальные патентные заявки;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(XV) применение соответствующих положений при наличии нескольких изобретателей, заявителей, патентовладельцев или представителей;</w:t>
      </w:r>
    </w:p>
    <w:p w14:paraId="08BD06C7"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(XVI) контакты Евразийского ведомства с заявителями, патентовладельцами, патентными поверенными и другими третьими лицами и порядок ознакомления указанных лиц с документами Евразийского ведомства.</w:t>
      </w:r>
    </w:p>
    <w:p w14:paraId="56B9A8FA"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 </w:t>
      </w:r>
      <w:r w:rsidRPr="00004D1B">
        <w:rPr>
          <w:rFonts w:ascii="Courier New" w:eastAsia="Times New Roman" w:hAnsi="Courier New" w:cs="Courier New"/>
          <w:color w:val="000000" w:themeColor="text1"/>
          <w:spacing w:val="2"/>
          <w:sz w:val="21"/>
          <w:szCs w:val="21"/>
          <w:lang w:eastAsia="ru-RU"/>
        </w:rPr>
        <w:br/>
      </w:r>
    </w:p>
    <w:p w14:paraId="2B9470DD"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V. Применение Договора о патентной кооперации (РСТ</w:t>
      </w:r>
    </w:p>
    <w:p w14:paraId="78BA934A" w14:textId="6EE571F8"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Применение Договора о патентной кооперации (РСТ</w:t>
      </w:r>
    </w:p>
    <w:p w14:paraId="28B18940"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3DEB3065"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20. Применение Договора о патентной кооперации</w:t>
      </w:r>
    </w:p>
    <w:p w14:paraId="02AC6BDC" w14:textId="41A1D4B9"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Договор о патентной кооперации и Инструкция к нему применяются в рамках Евразийской патентной системы, а в случае расхождения между ними и настоящей Конвенцией и Инструкцией, применяются первые. Евразийское ведомство является получающим ведомством, а также указанным и выбранным ведомством в соответствии с Договором о патентной кооперации, и может по уполномочию Административного совета испрашивать статус Международного поискового органа и Органа международной предварительной экспертизы в соответствии с указанным Договором.</w:t>
      </w:r>
      <w:r w:rsidRPr="00004D1B">
        <w:rPr>
          <w:rFonts w:ascii="Arial" w:eastAsia="Times New Roman" w:hAnsi="Arial" w:cs="Arial"/>
          <w:color w:val="000000" w:themeColor="text1"/>
          <w:spacing w:val="2"/>
          <w:sz w:val="21"/>
          <w:szCs w:val="21"/>
          <w:lang w:eastAsia="ru-RU"/>
        </w:rPr>
        <w:br/>
      </w:r>
    </w:p>
    <w:p w14:paraId="2BB2903E"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C5472A3"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lastRenderedPageBreak/>
        <w:t>Часть VI. Переходные положения</w:t>
      </w:r>
    </w:p>
    <w:p w14:paraId="4EBEDF6F"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Переходные положения</w:t>
      </w:r>
    </w:p>
    <w:p w14:paraId="0B8E87DC"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5FEB0ED"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21. Поиск. Коллегии</w:t>
      </w:r>
    </w:p>
    <w:p w14:paraId="46D6622B" w14:textId="0F0E0F0A"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По уполномочию Административного совета Евразийское ведомство может заключить с национальным или региональным патентным ведомством соглашения о проведении, пока в этом будет необходимость, таким национальным или региональным ведомством поиска по евразийским заявкам, при условии, что национальное или региональное патентное ведомство способно осуществлять во всех или отдельных областях техники поиски того же типа, что и проводимые в соответствии с Договором о патентной кооперации.</w:t>
      </w:r>
    </w:p>
    <w:p w14:paraId="2980DF05"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        </w:t>
      </w:r>
    </w:p>
    <w:p w14:paraId="4FF87CA9"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(2) До тех пор, пока это необходимо, коллегии из трех экспертов, упомянутые в статье 15(7), могут состоять также из экспертов, рекомендованных национальными ведомствами Договаривающихся Государств.</w:t>
      </w:r>
    </w:p>
    <w:p w14:paraId="0AD341EE"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6594F577"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1E99C44D"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VII. Различные положения</w:t>
      </w:r>
    </w:p>
    <w:p w14:paraId="0C0C914C"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Различные положения</w:t>
      </w:r>
    </w:p>
    <w:p w14:paraId="592EC37C"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20E52B2"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22. Независимость национальных патентных систем</w:t>
      </w:r>
    </w:p>
    <w:p w14:paraId="2A877106"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Настоящая Конвенция не затрагивает права любого Договаривающегося Государства выдавать национальные патенты.</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(2) Настоящая Конвенция не является препятствием для любого Договаривающегося Государства самостоятельно участвовать в любой международной организации и развивать различные формы международного сотрудничества в области охраны промышленной собственности.</w:t>
      </w:r>
      <w:r w:rsidRPr="00004D1B">
        <w:rPr>
          <w:rFonts w:ascii="Arial" w:eastAsia="Times New Roman" w:hAnsi="Arial" w:cs="Arial"/>
          <w:color w:val="000000" w:themeColor="text1"/>
          <w:spacing w:val="2"/>
          <w:sz w:val="21"/>
          <w:szCs w:val="21"/>
          <w:lang w:eastAsia="ru-RU"/>
        </w:rPr>
        <w:br/>
      </w:r>
    </w:p>
    <w:p w14:paraId="2907BE7C"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29236394"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23. Пересмотр Конвенции</w:t>
      </w:r>
    </w:p>
    <w:p w14:paraId="4DAFF803"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Настоящая Конвенция может пересматриваться Договаривающимися Государствами в любое время.</w:t>
      </w:r>
    </w:p>
    <w:p w14:paraId="72CA5D5C"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r w:rsidRPr="00004D1B">
        <w:rPr>
          <w:rFonts w:ascii="Courier New" w:eastAsia="Times New Roman" w:hAnsi="Courier New" w:cs="Courier New"/>
          <w:color w:val="000000" w:themeColor="text1"/>
          <w:spacing w:val="2"/>
          <w:sz w:val="21"/>
          <w:szCs w:val="21"/>
          <w:lang w:eastAsia="ru-RU"/>
        </w:rPr>
        <w:t>    </w:t>
      </w:r>
    </w:p>
    <w:p w14:paraId="586C7D32"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lastRenderedPageBreak/>
        <w:t>(2) Вопрос о созыве конференции Договаривающихся Государств для целей пересмотра Конвенции решается Административным советом. Он также решает вопросы по правилам процедуры и другие детали, относящиеся к конференциям по пересмотру.</w:t>
      </w:r>
    </w:p>
    <w:p w14:paraId="550BBADC"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3E0C5FA4"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BBDE89F"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24. Урегулирование споров</w:t>
      </w:r>
    </w:p>
    <w:p w14:paraId="3F9217FE"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В случае возникновения какого-либо спора по вопросам толкования или применения настоящей Конвенции Генеральный директор ВОИС по просьбе любой из сторон, принимающих участие в споре, выступает в качестве посредника для приведения сторон к разрешению спора.</w:t>
      </w:r>
      <w:r w:rsidRPr="00004D1B">
        <w:rPr>
          <w:rFonts w:ascii="Arial" w:eastAsia="Times New Roman" w:hAnsi="Arial" w:cs="Arial"/>
          <w:color w:val="000000" w:themeColor="text1"/>
          <w:spacing w:val="2"/>
          <w:sz w:val="21"/>
          <w:szCs w:val="21"/>
          <w:lang w:eastAsia="ru-RU"/>
        </w:rPr>
        <w:br/>
      </w:r>
    </w:p>
    <w:p w14:paraId="62AF4B68"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9ECB057"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VIII. Информационные услуги</w:t>
      </w:r>
    </w:p>
    <w:p w14:paraId="0835F876"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Информационные услуги</w:t>
      </w:r>
    </w:p>
    <w:p w14:paraId="19898E47"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4D23F13D"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25. Распространение патентной информации</w:t>
      </w:r>
    </w:p>
    <w:p w14:paraId="76EA9AE2"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Каждое Договаривающееся Государство бесплатно получает Бюллетень Евразийского ведомства и описания евразийских заявок и патентов.</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(2) С учетом пункта (1) настоящей статьи никакая публикация Евразийского ведомства не будет распространяться бесплатно без разрешения Административного совета.</w:t>
      </w:r>
      <w:r w:rsidRPr="00004D1B">
        <w:rPr>
          <w:rFonts w:ascii="Arial" w:eastAsia="Times New Roman" w:hAnsi="Arial" w:cs="Arial"/>
          <w:color w:val="000000" w:themeColor="text1"/>
          <w:spacing w:val="2"/>
          <w:sz w:val="21"/>
          <w:szCs w:val="21"/>
          <w:lang w:eastAsia="ru-RU"/>
        </w:rPr>
        <w:br/>
      </w:r>
    </w:p>
    <w:p w14:paraId="2144B542"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63EA60D8" w14:textId="77777777" w:rsidR="00004D1B" w:rsidRPr="00004D1B" w:rsidRDefault="00004D1B" w:rsidP="00004D1B">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Часть IX. Заключительные положения</w:t>
      </w:r>
    </w:p>
    <w:p w14:paraId="31921D54" w14:textId="77777777" w:rsidR="00004D1B" w:rsidRPr="00004D1B" w:rsidRDefault="00004D1B" w:rsidP="00004D1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04D1B">
        <w:rPr>
          <w:rFonts w:ascii="Arial" w:eastAsia="Times New Roman" w:hAnsi="Arial" w:cs="Arial"/>
          <w:color w:val="000000" w:themeColor="text1"/>
          <w:spacing w:val="2"/>
          <w:sz w:val="31"/>
          <w:szCs w:val="31"/>
          <w:lang w:eastAsia="ru-RU"/>
        </w:rPr>
        <w:t>Заключительные положения</w:t>
      </w:r>
    </w:p>
    <w:p w14:paraId="4D7BF7B5"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27DAAC94"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26. Подписание. Вступление Конвенции в силу</w:t>
      </w:r>
    </w:p>
    <w:p w14:paraId="0B1B6ABB" w14:textId="53396A81"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(1) Настоящая Конвенция подписывается на русском языке.</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 xml:space="preserve">(2) Членство в настоящей Конвенции открыто для любого Государства - члена Организации Объединенных Наций, связанного также </w:t>
      </w:r>
      <w:r w:rsidRPr="00004D1B">
        <w:rPr>
          <w:rFonts w:ascii="Arial" w:eastAsia="Times New Roman" w:hAnsi="Arial" w:cs="Arial"/>
          <w:color w:val="000000" w:themeColor="text1"/>
          <w:spacing w:val="2"/>
          <w:sz w:val="21"/>
          <w:szCs w:val="21"/>
          <w:lang w:eastAsia="ru-RU"/>
        </w:rPr>
        <w:lastRenderedPageBreak/>
        <w:t>с Парижской конвенцией по охране промышленной собственности и Договором о патентной кооперации. Для того, чтобы стать участником Конвенции, Государство должно либо подписать Конвенцию и сдать на хранение ратификационную грамоту, либо сдать на хранение акт о присоединении.</w:t>
      </w:r>
    </w:p>
    <w:p w14:paraId="35DA4DEB"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(3) В отношении настоящей Конвенции не допускаются никакие оговорки.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(4) Настоящая Конвенция вступает в силу в отношении первых трех Государств, ратифицировавших ее или присоединившихся к ней, через три месяца после сдачи на хранение Генеральному директору ВОИС третьего из вышеупомянутых документов. В отношении любого другого Государства настоящая Конвенция вступает в силу через три месяца после сдачи им на хранение своей ратификационной грамоты либо сдачи на хранение акта о присоединении.</w:t>
      </w:r>
    </w:p>
    <w:p w14:paraId="12EBFCE0" w14:textId="77777777" w:rsidR="00004D1B" w:rsidRPr="00004D1B" w:rsidRDefault="00004D1B" w:rsidP="00004D1B">
      <w:pPr>
        <w:shd w:val="clear" w:color="auto" w:fill="FFFFFF"/>
        <w:spacing w:after="0" w:line="315" w:lineRule="atLeast"/>
        <w:textAlignment w:val="baseline"/>
        <w:rPr>
          <w:rFonts w:ascii="Courier New" w:eastAsia="Times New Roman" w:hAnsi="Courier New" w:cs="Courier New"/>
          <w:color w:val="000000" w:themeColor="text1"/>
          <w:spacing w:val="2"/>
          <w:sz w:val="21"/>
          <w:szCs w:val="21"/>
          <w:lang w:eastAsia="ru-RU"/>
        </w:rPr>
      </w:pPr>
    </w:p>
    <w:p w14:paraId="0250E250"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r w:rsidRPr="00004D1B">
        <w:rPr>
          <w:rFonts w:ascii="Arial" w:eastAsia="Times New Roman" w:hAnsi="Arial" w:cs="Arial"/>
          <w:color w:val="000000" w:themeColor="text1"/>
          <w:spacing w:val="2"/>
          <w:sz w:val="18"/>
          <w:szCs w:val="18"/>
          <w:lang w:eastAsia="ru-RU"/>
        </w:rPr>
        <w:t> </w:t>
      </w:r>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7406CEBB"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27. Денонсация Конвенции</w:t>
      </w:r>
    </w:p>
    <w:p w14:paraId="4435DA91" w14:textId="77777777"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Любое Договаривающееся Государство может денонсировать настоящую Конвенцию путем уведомления, направленного Генеральному директору ВОИС. Денонсация вступает в силу через шесть месяцев со дня получения уведомления Генеральным директором ВОИС.</w:t>
      </w:r>
      <w:r w:rsidRPr="00004D1B">
        <w:rPr>
          <w:rFonts w:ascii="Arial" w:eastAsia="Times New Roman" w:hAnsi="Arial" w:cs="Arial"/>
          <w:color w:val="000000" w:themeColor="text1"/>
          <w:spacing w:val="2"/>
          <w:sz w:val="21"/>
          <w:szCs w:val="21"/>
          <w:lang w:eastAsia="ru-RU"/>
        </w:rPr>
        <w:br/>
      </w:r>
    </w:p>
    <w:p w14:paraId="610EB62E" w14:textId="77777777" w:rsidR="00004D1B" w:rsidRPr="00004D1B" w:rsidRDefault="00004D1B" w:rsidP="00004D1B">
      <w:pPr>
        <w:shd w:val="clear" w:color="auto" w:fill="FFFFFF"/>
        <w:spacing w:after="0" w:line="240" w:lineRule="auto"/>
        <w:textAlignment w:val="baseline"/>
        <w:rPr>
          <w:rFonts w:ascii="Arial" w:eastAsia="Times New Roman" w:hAnsi="Arial" w:cs="Arial"/>
          <w:color w:val="000000" w:themeColor="text1"/>
          <w:spacing w:val="2"/>
          <w:sz w:val="18"/>
          <w:szCs w:val="18"/>
          <w:lang w:eastAsia="ru-RU"/>
        </w:rPr>
      </w:pPr>
      <w:bookmarkStart w:id="1" w:name="0000000000000000000000000000000000000000"/>
      <w:r w:rsidRPr="00004D1B">
        <w:rPr>
          <w:rFonts w:ascii="Arial" w:eastAsia="Times New Roman" w:hAnsi="Arial" w:cs="Arial"/>
          <w:color w:val="000000" w:themeColor="text1"/>
          <w:spacing w:val="2"/>
          <w:sz w:val="18"/>
          <w:szCs w:val="18"/>
          <w:lang w:eastAsia="ru-RU"/>
        </w:rPr>
        <w:t> </w:t>
      </w:r>
      <w:bookmarkEnd w:id="1"/>
      <w:r w:rsidRPr="00004D1B">
        <w:rPr>
          <w:rFonts w:ascii="Arial" w:eastAsia="Times New Roman" w:hAnsi="Arial" w:cs="Arial"/>
          <w:color w:val="000000" w:themeColor="text1"/>
          <w:spacing w:val="2"/>
          <w:sz w:val="18"/>
          <w:szCs w:val="18"/>
          <w:lang w:eastAsia="ru-RU"/>
        </w:rPr>
        <w:br/>
      </w:r>
      <w:r w:rsidRPr="00004D1B">
        <w:rPr>
          <w:rFonts w:ascii="Arial" w:eastAsia="Times New Roman" w:hAnsi="Arial" w:cs="Arial"/>
          <w:color w:val="000000" w:themeColor="text1"/>
          <w:spacing w:val="2"/>
          <w:sz w:val="18"/>
          <w:szCs w:val="18"/>
          <w:lang w:eastAsia="ru-RU"/>
        </w:rPr>
        <w:br/>
      </w:r>
    </w:p>
    <w:p w14:paraId="0C6FE3D2" w14:textId="77777777" w:rsidR="00004D1B" w:rsidRPr="00004D1B" w:rsidRDefault="00004D1B" w:rsidP="00004D1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04D1B">
        <w:rPr>
          <w:rFonts w:ascii="Arial" w:eastAsia="Times New Roman" w:hAnsi="Arial" w:cs="Arial"/>
          <w:color w:val="000000" w:themeColor="text1"/>
          <w:spacing w:val="2"/>
          <w:sz w:val="29"/>
          <w:szCs w:val="29"/>
          <w:lang w:eastAsia="ru-RU"/>
        </w:rPr>
        <w:t>Статья 28. Депозитарий</w:t>
      </w:r>
    </w:p>
    <w:p w14:paraId="3B83B25A" w14:textId="309D4D84" w:rsidR="00004D1B" w:rsidRPr="00004D1B" w:rsidRDefault="00004D1B" w:rsidP="00004D1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04D1B">
        <w:rPr>
          <w:rFonts w:ascii="Arial" w:eastAsia="Times New Roman" w:hAnsi="Arial" w:cs="Arial"/>
          <w:color w:val="000000" w:themeColor="text1"/>
          <w:spacing w:val="2"/>
          <w:sz w:val="21"/>
          <w:szCs w:val="21"/>
          <w:lang w:eastAsia="ru-RU"/>
        </w:rPr>
        <w:t>Генеральный директор ВОИС является депозитарием настоящей Конвенции.</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Совершено в городе Москве 9 сентября 1994 года в одном подлинном экземпляре на русском языке.</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Ратифицирована Федеральным Собранием (Федеральный закон от 1 июня 1995 года N 85-ФЗ - Собрание законодательства Российской Федерации, 1995, N 23, ст. 2170).</w:t>
      </w:r>
      <w:r w:rsidRPr="00004D1B">
        <w:rPr>
          <w:rFonts w:ascii="Arial" w:eastAsia="Times New Roman" w:hAnsi="Arial" w:cs="Arial"/>
          <w:color w:val="000000" w:themeColor="text1"/>
          <w:spacing w:val="2"/>
          <w:sz w:val="21"/>
          <w:szCs w:val="21"/>
          <w:lang w:eastAsia="ru-RU"/>
        </w:rPr>
        <w:br/>
      </w:r>
      <w:r w:rsidRPr="00004D1B">
        <w:rPr>
          <w:rFonts w:ascii="Arial" w:eastAsia="Times New Roman" w:hAnsi="Arial" w:cs="Arial"/>
          <w:color w:val="000000" w:themeColor="text1"/>
          <w:spacing w:val="2"/>
          <w:sz w:val="21"/>
          <w:szCs w:val="21"/>
          <w:lang w:eastAsia="ru-RU"/>
        </w:rPr>
        <w:br/>
        <w:t>Конвенция вступила в силу для Российской Федерации 27 сентября 1995 года.</w:t>
      </w:r>
    </w:p>
    <w:p w14:paraId="0CD2E869" w14:textId="77777777" w:rsidR="00151036" w:rsidRPr="00004D1B" w:rsidRDefault="00151036">
      <w:pPr>
        <w:rPr>
          <w:color w:val="000000" w:themeColor="text1"/>
        </w:rPr>
      </w:pPr>
    </w:p>
    <w:sectPr w:rsidR="00151036" w:rsidRPr="0000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D2"/>
    <w:rsid w:val="00004D1B"/>
    <w:rsid w:val="00151036"/>
    <w:rsid w:val="002A0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618E-B771-40E8-8C06-7BA87D0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004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D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4D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D1B"/>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004D1B"/>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004D1B"/>
    <w:rPr>
      <w:rFonts w:ascii="Times New Roman" w:eastAsia="Times New Roman" w:hAnsi="Times New Roman" w:cs="Times New Roman"/>
      <w:b/>
      <w:bCs/>
      <w:sz w:val="27"/>
      <w:szCs w:val="27"/>
      <w:lang w:val="ru-RU" w:eastAsia="ru-RU"/>
    </w:rPr>
  </w:style>
  <w:style w:type="paragraph" w:customStyle="1" w:styleId="headertext">
    <w:name w:val="headertext"/>
    <w:basedOn w:val="a"/>
    <w:rsid w:val="00004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04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4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4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75411">
      <w:bodyDiv w:val="1"/>
      <w:marLeft w:val="0"/>
      <w:marRight w:val="0"/>
      <w:marTop w:val="0"/>
      <w:marBottom w:val="0"/>
      <w:divBdr>
        <w:top w:val="none" w:sz="0" w:space="0" w:color="auto"/>
        <w:left w:val="none" w:sz="0" w:space="0" w:color="auto"/>
        <w:bottom w:val="none" w:sz="0" w:space="0" w:color="auto"/>
        <w:right w:val="none" w:sz="0" w:space="0" w:color="auto"/>
      </w:divBdr>
      <w:divsChild>
        <w:div w:id="171129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3772</Words>
  <Characters>21504</Characters>
  <Application>Microsoft Office Word</Application>
  <DocSecurity>0</DocSecurity>
  <Lines>179</Lines>
  <Paragraphs>50</Paragraphs>
  <ScaleCrop>false</ScaleCrop>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2019-06-21T19:07:00Z</dcterms:created>
  <dcterms:modified xsi:type="dcterms:W3CDTF">2019-06-21T19:10:00Z</dcterms:modified>
</cp:coreProperties>
</file>